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 w:val="0"/>
        <w:spacing w:after="0"/>
        <w:jc w:val="center"/>
        <w:rPr>
          <w:rFonts w:hint="eastAsia" w:ascii="Times New Roman" w:hAnsi="Times New Roman" w:eastAsia="方正小标宋简体" w:cs="Times New Roman"/>
          <w:kern w:val="2"/>
          <w:sz w:val="44"/>
          <w:szCs w:val="44"/>
          <w:lang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eastAsia="zh-CN"/>
        </w:rPr>
        <w:t>智慧工会建设工作规划（2023-2025）</w:t>
      </w:r>
    </w:p>
    <w:p>
      <w:pPr>
        <w:widowControl w:val="0"/>
        <w:adjustRightInd/>
        <w:snapToGrid w:val="0"/>
        <w:spacing w:after="0"/>
        <w:jc w:val="center"/>
        <w:rPr>
          <w:rFonts w:hint="eastAsia" w:ascii="Times New Roman" w:hAnsi="Times New Roman" w:eastAsia="方正小标宋简体" w:cs="Times New Roman"/>
          <w:kern w:val="2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eastAsia="zh-CN"/>
        </w:rPr>
        <w:t>咨询服务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</w:rPr>
        <w:t>询价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eastAsia="zh-CN"/>
        </w:rPr>
        <w:t>公告</w:t>
      </w:r>
    </w:p>
    <w:p>
      <w:pPr>
        <w:spacing w:after="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成都市总工会拟就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“智慧工会建设工作规划（2023-2025）咨询服务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项目”进行市场询价</w:t>
      </w:r>
      <w:r>
        <w:rPr>
          <w:rFonts w:ascii="Times New Roman" w:hAnsi="Times New Roman" w:eastAsia="仿宋_GB2312" w:cs="Times New Roman"/>
          <w:sz w:val="32"/>
          <w:szCs w:val="32"/>
        </w:rPr>
        <w:t>，诚邀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符合要求的公司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对智慧工会建设工作规划（2023-2025）咨询服务需求内容（附件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）进行报价。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供应商资格条件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（一）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符合《中华人民共和国政府采购法》第二十二条规定的条件：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1.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具有独立承担民事责任的能力（提供营业执照）。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2.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具有良好的商业信誉和健全的财务会计制度。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具有履行合同所必需的设备和专业技术能力。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有依法缴纳税收和社会保障资金的良好记录。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参加本次政府采购活动前三年内，在经营活动中没有重大违法记录。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法律、行政法规规定的其他条件。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（二）根据采购项目提出的特殊条件：本项目不接受联合体参与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符合要求的公司于202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午1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：00前将报价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书（附件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营业执照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复印件及法人身份证复印件（均需加盖公章）扫描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发至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邮箱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1067680418@qq.com。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ind w:left="1918" w:leftChars="290" w:hanging="1280" w:hangingChars="4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 智慧工会建设工作规划（2023-2025）咨询服务需求内容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288" w:lineRule="auto"/>
        <w:ind w:firstLine="1600" w:firstLineChars="5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 报价书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after="0" w:line="288" w:lineRule="auto"/>
        <w:ind w:firstLine="640" w:firstLineChars="200"/>
        <w:jc w:val="right"/>
        <w:textAlignment w:val="auto"/>
        <w:rPr>
          <w:rFonts w:hint="default" w:ascii="仿宋_GB2312" w:hAnsi="宋体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/>
        </w:rPr>
        <w:t xml:space="preserve">成都市总工会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after="0" w:line="288" w:lineRule="auto"/>
        <w:ind w:firstLine="640" w:firstLineChars="200"/>
        <w:jc w:val="right"/>
        <w:textAlignment w:val="auto"/>
        <w:rPr>
          <w:rFonts w:hint="default" w:ascii="仿宋_GB2312" w:hAnsi="宋体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/>
        </w:rPr>
        <w:t>2023年3月9日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br w:type="page"/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/>
        <w:textAlignment w:val="auto"/>
        <w:rPr>
          <w:rFonts w:hint="eastAsia" w:ascii="黑体" w:hAnsi="黑体" w:eastAsia="黑体"/>
          <w:kern w:val="0"/>
          <w:sz w:val="32"/>
          <w:szCs w:val="30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0"/>
        </w:rPr>
        <w:t>附件</w:t>
      </w:r>
      <w:r>
        <w:rPr>
          <w:rFonts w:hint="eastAsia" w:ascii="黑体" w:hAnsi="黑体" w:eastAsia="黑体"/>
          <w:kern w:val="0"/>
          <w:sz w:val="32"/>
          <w:szCs w:val="30"/>
          <w:lang w:val="en-US" w:eastAsia="zh-CN"/>
        </w:rPr>
        <w:t>1：</w:t>
      </w:r>
    </w:p>
    <w:p>
      <w:pPr>
        <w:pStyle w:val="2"/>
        <w:rPr>
          <w:rFonts w:hint="eastAsia"/>
          <w:lang w:val="en-US" w:eastAsia="zh-CN"/>
        </w:rPr>
      </w:pPr>
    </w:p>
    <w:p>
      <w:pPr>
        <w:widowControl w:val="0"/>
        <w:adjustRightInd/>
        <w:snapToGrid w:val="0"/>
        <w:spacing w:after="0"/>
        <w:jc w:val="center"/>
        <w:rPr>
          <w:rFonts w:hint="eastAsia" w:ascii="Times New Roman" w:hAnsi="Times New Roman" w:eastAsia="方正小标宋简体" w:cs="Times New Roman"/>
          <w:kern w:val="2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eastAsia="zh-CN"/>
        </w:rPr>
        <w:t>智慧工会建设工作规划（2023-2025）咨询服务需求内容</w:t>
      </w:r>
    </w:p>
    <w:p>
      <w:pPr>
        <w:pStyle w:val="2"/>
        <w:rPr>
          <w:rFonts w:hint="eastAsia" w:ascii="Times New Roman" w:hAnsi="Times New Roman" w:eastAsia="方正小标宋简体" w:cs="Times New Roman"/>
          <w:kern w:val="2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88" w:lineRule="auto"/>
        <w:jc w:val="both"/>
        <w:textAlignment w:val="auto"/>
        <w:rPr>
          <w:rFonts w:hint="eastAsia" w:ascii="Times New Roman" w:hAnsi="Times New Roman" w:eastAsia="黑体" w:cs="Times New Roman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Times New Roman"/>
          <w:kern w:val="2"/>
          <w:sz w:val="32"/>
          <w:szCs w:val="32"/>
        </w:rPr>
        <w:t>、工作</w:t>
      </w:r>
      <w:r>
        <w:rPr>
          <w:rFonts w:hint="eastAsia" w:ascii="黑体" w:hAnsi="黑体" w:eastAsia="黑体" w:cs="Times New Roman"/>
          <w:kern w:val="2"/>
          <w:sz w:val="32"/>
          <w:szCs w:val="32"/>
          <w:lang w:eastAsia="zh-CN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88" w:lineRule="auto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以《中国工会网络安全和信息化“十四五”规划》《四川工会网上工作规划（2023—2025年）》为指导，紧密结合智慧蓉城建设相关工作要求，立足全市工会工作实际，围绕智慧工会建设基础条件（上位要求、现状问题）、建设思路、建设目标、整体架构、重点任务、保障措施等方面，开展成都市智慧工会建设系列研究。具体包括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88" w:lineRule="auto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楷体_GB2312" w:cs="Times New Roman"/>
          <w:kern w:val="2"/>
          <w:sz w:val="32"/>
          <w:szCs w:val="32"/>
        </w:rPr>
        <w:t>（一）开展现状分析。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系统研究全总、省总相关决策部署，把握上位要求。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结合全国各省市工会优秀案例，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综合研判、多维度分析目前成都市智慧工会建设面临的新形势新任务新机遇，科学评估成都市智慧工会建设现实基础，分析成都市智慧工会协同化工作平台（含职工普惠APP）建设和使用现状，提出存在的问题。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88" w:lineRule="auto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楷体_GB2312" w:cs="Times New Roman"/>
          <w:kern w:val="2"/>
          <w:sz w:val="32"/>
          <w:szCs w:val="32"/>
        </w:rPr>
        <w:t>（二）谋划建设思路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。立足成都市智慧工会建设实际，结合全总、省总上位规划要求及市级相关战略，对标智慧蓉城建设工作要求，以破解成都市智慧工会建设瓶颈、核心问题为出发点，提出新时期成都市智慧工会未来三年建设思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88" w:lineRule="auto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楷体_GB2312" w:cs="Times New Roman"/>
          <w:kern w:val="2"/>
          <w:sz w:val="32"/>
          <w:szCs w:val="32"/>
        </w:rPr>
        <w:t>（三）明确建设目标。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分析对照全总、省总2035年工会信息化、网上工作及智慧蓉城建设目标，科学设置未来三年成都市智慧工会建设的总体目标、阶段性目标。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88" w:lineRule="auto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楷体_GB2312" w:cs="Times New Roman"/>
          <w:kern w:val="2"/>
          <w:sz w:val="32"/>
          <w:szCs w:val="32"/>
        </w:rPr>
        <w:t>（四）</w:t>
      </w:r>
      <w:r>
        <w:rPr>
          <w:rFonts w:hint="eastAsia" w:ascii="Times New Roman" w:hAnsi="Times New Roman" w:eastAsia="楷体_GB2312" w:cs="Times New Roman"/>
          <w:kern w:val="2"/>
          <w:sz w:val="32"/>
          <w:szCs w:val="32"/>
          <w:lang w:eastAsia="zh-CN"/>
        </w:rPr>
        <w:t>优化</w:t>
      </w:r>
      <w:r>
        <w:rPr>
          <w:rFonts w:hint="eastAsia" w:ascii="Times New Roman" w:hAnsi="Times New Roman" w:eastAsia="楷体_GB2312" w:cs="Times New Roman"/>
          <w:kern w:val="2"/>
          <w:sz w:val="32"/>
          <w:szCs w:val="32"/>
        </w:rPr>
        <w:t>整体架构。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从推动成都市工会工作智慧化转型发展的全局出发，紧密结合全总信息化建设总体架构、省总网上工作规划重点、成都市智慧蓉城总体架构，定制化提出成都市智慧工会建设总体架构、数据架构、业务应用架构。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88" w:lineRule="auto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楷体_GB2312" w:cs="Times New Roman"/>
          <w:kern w:val="2"/>
          <w:sz w:val="32"/>
          <w:szCs w:val="32"/>
        </w:rPr>
        <w:t>（五）梳理重点任务。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结合成都智慧工会建设架构，提出相应重点任务与重点专项工程，包括数字基础设施、数据资源管理体系、能力支撑体系、重点应用场景体系（工会治理能力提升体系、工会服务应用创新体系）等，并围绕重点任务、重点工程，提出分步实施的项目清单和职能分工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88" w:lineRule="auto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楷体_GB2312" w:cs="Times New Roman"/>
          <w:kern w:val="2"/>
          <w:sz w:val="32"/>
          <w:szCs w:val="32"/>
        </w:rPr>
        <w:t>（六）明确保障措施。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为保证智慧工会规划内容的顺利建设实施，制定涵盖组织管理、制度规范、网络数据安全保障、运营运维等保障措施。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88" w:lineRule="auto"/>
        <w:ind w:firstLine="640" w:firstLineChars="200"/>
        <w:jc w:val="both"/>
        <w:textAlignment w:val="auto"/>
        <w:rPr>
          <w:rFonts w:hint="eastAsia"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二、工作成果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88" w:lineRule="auto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成果1：《成都市智慧工会总体规划》（Word规划文本）。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88" w:lineRule="auto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成果2：《成都市智慧工会三年行动计划（2023—2025年）》（Word规划文本）。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88" w:lineRule="auto"/>
        <w:ind w:firstLine="640" w:firstLineChars="200"/>
        <w:jc w:val="both"/>
        <w:textAlignment w:val="auto"/>
        <w:rPr>
          <w:rFonts w:hint="eastAsia" w:ascii="黑体" w:hAnsi="黑体" w:eastAsia="黑体" w:cs="Times New Roman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三、</w:t>
      </w:r>
      <w:r>
        <w:rPr>
          <w:rFonts w:hint="eastAsia" w:ascii="黑体" w:hAnsi="黑体" w:eastAsia="黑体" w:cs="Times New Roman"/>
          <w:kern w:val="2"/>
          <w:sz w:val="32"/>
          <w:szCs w:val="32"/>
          <w:lang w:eastAsia="zh-CN"/>
        </w:rPr>
        <w:t>后续服务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88" w:lineRule="auto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（一）在规划期内（2023-2025）为成都市总工会提供相关咨询服务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88" w:lineRule="auto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（二）协助成都市总工会成立智慧工会筹建专家咨询团队。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88" w:lineRule="auto"/>
        <w:ind w:firstLine="640" w:firstLineChars="200"/>
        <w:jc w:val="both"/>
        <w:textAlignment w:val="auto"/>
        <w:rPr>
          <w:rFonts w:hint="eastAsia" w:ascii="黑体" w:hAnsi="黑体" w:eastAsia="黑体" w:cs="Times New Roman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Times New Roman"/>
          <w:kern w:val="2"/>
          <w:sz w:val="32"/>
          <w:szCs w:val="32"/>
        </w:rPr>
        <w:t>、</w:t>
      </w:r>
      <w:r>
        <w:rPr>
          <w:rFonts w:hint="eastAsia" w:ascii="黑体" w:hAnsi="黑体" w:eastAsia="黑体" w:cs="Times New Roman"/>
          <w:kern w:val="2"/>
          <w:sz w:val="32"/>
          <w:szCs w:val="32"/>
          <w:lang w:eastAsia="zh-CN"/>
        </w:rPr>
        <w:t>提交成果时间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88" w:lineRule="auto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自合同签订之日起2个月内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。</w:t>
      </w:r>
    </w:p>
    <w:p>
      <w:pPr>
        <w:pStyle w:val="3"/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/>
        </w:rPr>
      </w:pPr>
    </w:p>
    <w:p>
      <w:pPr>
        <w:rPr>
          <w:rFonts w:hint="eastAsia" w:ascii="黑体" w:hAnsi="黑体" w:eastAsia="黑体"/>
          <w:kern w:val="0"/>
          <w:sz w:val="32"/>
          <w:szCs w:val="30"/>
        </w:rPr>
      </w:pPr>
      <w:r>
        <w:rPr>
          <w:rFonts w:hint="eastAsia" w:ascii="黑体" w:hAnsi="黑体" w:eastAsia="黑体"/>
          <w:kern w:val="0"/>
          <w:sz w:val="32"/>
          <w:szCs w:val="30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/>
        <w:textAlignment w:val="auto"/>
        <w:rPr>
          <w:rFonts w:hint="eastAsia" w:ascii="黑体" w:hAnsi="黑体" w:eastAsia="黑体"/>
          <w:kern w:val="0"/>
          <w:sz w:val="32"/>
          <w:szCs w:val="30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0"/>
        </w:rPr>
        <w:t>附件</w:t>
      </w:r>
      <w:r>
        <w:rPr>
          <w:rFonts w:hint="eastAsia" w:ascii="黑体" w:hAnsi="黑体" w:eastAsia="黑体"/>
          <w:kern w:val="0"/>
          <w:sz w:val="32"/>
          <w:szCs w:val="30"/>
          <w:lang w:val="en-US" w:eastAsia="zh-CN"/>
        </w:rPr>
        <w:t>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438" w:firstLineChars="137"/>
        <w:textAlignment w:val="auto"/>
        <w:rPr>
          <w:rFonts w:hint="eastAsia" w:ascii="黑体" w:hAnsi="黑体" w:eastAsia="黑体"/>
          <w:kern w:val="0"/>
          <w:sz w:val="32"/>
          <w:szCs w:val="30"/>
        </w:rPr>
      </w:pPr>
    </w:p>
    <w:p>
      <w:pPr>
        <w:widowControl w:val="0"/>
        <w:adjustRightInd/>
        <w:snapToGrid w:val="0"/>
        <w:spacing w:after="0"/>
        <w:jc w:val="center"/>
        <w:rPr>
          <w:rFonts w:hint="eastAsia" w:ascii="Times New Roman" w:hAnsi="Times New Roman" w:eastAsia="方正小标宋简体" w:cs="Times New Roman"/>
          <w:kern w:val="2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eastAsia="zh-CN"/>
        </w:rPr>
        <w:t>报价书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/>
        <w:textAlignment w:val="auto"/>
        <w:rPr>
          <w:rFonts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>成都市总工会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438" w:firstLineChars="137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根据你方智慧工会建设工作规划（2023-2025）咨询服务询价公告，经研究上述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公告</w:t>
      </w:r>
      <w:r>
        <w:rPr>
          <w:rFonts w:hint="eastAsia" w:ascii="仿宋_GB2312" w:hAnsi="宋体" w:eastAsia="仿宋_GB2312"/>
          <w:sz w:val="32"/>
          <w:szCs w:val="32"/>
        </w:rPr>
        <w:t>全部内容后，我方愿以人民币（大写）       （小写：￥元）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的报价，按合同条款完成本项目论证，并承担责任。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438" w:firstLineChars="137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我方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承诺该报价包含项目咨询服务的全部内容并在</w:t>
      </w:r>
      <w:r>
        <w:rPr>
          <w:rFonts w:hint="eastAsia" w:ascii="仿宋_GB2312" w:hAnsi="宋体" w:eastAsia="仿宋_GB2312"/>
          <w:sz w:val="32"/>
          <w:szCs w:val="32"/>
        </w:rPr>
        <w:t>规定时间内完成项目相关工作。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438" w:firstLineChars="137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snapToGrid w:val="0"/>
        <w:spacing w:line="580" w:lineRule="exact"/>
        <w:ind w:firstLine="576" w:firstLineChars="18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报价单位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（签章）</w:t>
      </w:r>
    </w:p>
    <w:p>
      <w:pPr>
        <w:snapToGrid w:val="0"/>
        <w:spacing w:line="580" w:lineRule="exact"/>
        <w:ind w:right="1120" w:firstLine="576" w:firstLineChars="180"/>
        <w:jc w:val="center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法定代表人或授权代理人：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</w:p>
    <w:p>
      <w:pPr>
        <w:wordWrap w:val="0"/>
        <w:snapToGrid w:val="0"/>
        <w:spacing w:line="580" w:lineRule="exact"/>
        <w:ind w:firstLine="4736" w:firstLineChars="1480"/>
        <w:jc w:val="right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月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日</w:t>
      </w:r>
    </w:p>
    <w:sectPr>
      <w:headerReference r:id="rId3" w:type="default"/>
      <w:footerReference r:id="rId4" w:type="default"/>
      <w:pgSz w:w="11906" w:h="16838"/>
      <w:pgMar w:top="1984" w:right="1474" w:bottom="2098" w:left="158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鼎谁的字体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83701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F20C5"/>
    <w:rsid w:val="1F9FC94D"/>
    <w:rsid w:val="263DBCC1"/>
    <w:rsid w:val="7FBF20C5"/>
    <w:rsid w:val="B3FFB875"/>
    <w:rsid w:val="FB9F3C03"/>
    <w:rsid w:val="FF7B9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unhideWhenUsed/>
    <w:qFormat/>
    <w:uiPriority w:val="99"/>
    <w:pPr>
      <w:spacing w:after="120"/>
    </w:pPr>
  </w:style>
  <w:style w:type="paragraph" w:styleId="3">
    <w:name w:val="Plain Text"/>
    <w:basedOn w:val="1"/>
    <w:qFormat/>
    <w:uiPriority w:val="0"/>
    <w:rPr>
      <w:rFonts w:hAnsi="Courier New" w:eastAsia="宋体"/>
      <w:b/>
      <w:sz w:val="21"/>
      <w:szCs w:val="2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目录"/>
    <w:basedOn w:val="1"/>
    <w:qFormat/>
    <w:uiPriority w:val="0"/>
    <w:pPr>
      <w:widowControl/>
      <w:jc w:val="center"/>
    </w:pPr>
    <w:rPr>
      <w:rFonts w:ascii="宋体"/>
      <w:b/>
      <w:kern w:val="0"/>
      <w:sz w:val="36"/>
      <w:szCs w:val="20"/>
    </w:rPr>
  </w:style>
  <w:style w:type="paragraph" w:customStyle="1" w:styleId="11">
    <w:name w:val="正文首行缩进两字符"/>
    <w:basedOn w:val="1"/>
    <w:qFormat/>
    <w:uiPriority w:val="0"/>
    <w:pPr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2023-03-10T02:24:00Z</dcterms:created>
  <dc:creator>uos</dc:creator>
  <cp:lastModifiedBy>uos</cp:lastModifiedBy>
  <cp:lastPrinted>2023-03-09T13:49:09Z</cp:lastPrinted>
  <dcterms:modified xsi:type="dcterms:W3CDTF">2023-03-09T13:56:23Z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